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15F" w:rsidRPr="00B7086A" w:rsidRDefault="008F015F" w:rsidP="008F015F">
      <w:pPr>
        <w:pStyle w:val="Heading1"/>
        <w:spacing w:before="0"/>
        <w:ind w:left="0"/>
        <w:jc w:val="center"/>
        <w:rPr>
          <w:rFonts w:ascii="Arial" w:hAnsi="Arial" w:cs="Arial"/>
          <w:bCs w:val="0"/>
          <w:color w:val="000000" w:themeColor="text1"/>
          <w:sz w:val="20"/>
          <w:szCs w:val="20"/>
        </w:rPr>
      </w:pPr>
      <w:r w:rsidRPr="00B7086A">
        <w:rPr>
          <w:rFonts w:ascii="Arial" w:hAnsi="Arial" w:cs="Arial"/>
          <w:color w:val="000000" w:themeColor="text1"/>
          <w:sz w:val="20"/>
          <w:szCs w:val="20"/>
        </w:rPr>
        <w:t>Phụ lục IV</w:t>
      </w:r>
    </w:p>
    <w:p w:rsidR="008F015F" w:rsidRDefault="008F015F" w:rsidP="008F015F">
      <w:pPr>
        <w:jc w:val="center"/>
        <w:rPr>
          <w:rFonts w:ascii="Arial" w:hAnsi="Arial" w:cs="Arial"/>
          <w:color w:val="000000" w:themeColor="text1"/>
          <w:sz w:val="20"/>
          <w:szCs w:val="20"/>
        </w:rPr>
      </w:pPr>
      <w:r w:rsidRPr="00B7086A">
        <w:rPr>
          <w:rFonts w:ascii="Arial" w:eastAsia="Times New Roman" w:hAnsi="Arial" w:cs="Arial"/>
          <w:b/>
          <w:bCs/>
          <w:color w:val="000000" w:themeColor="text1"/>
          <w:sz w:val="20"/>
          <w:szCs w:val="20"/>
        </w:rPr>
        <w:t>PHÂN LOẠI Ô TÔ TẢI THÔNG DỤNG</w:t>
      </w:r>
    </w:p>
    <w:p w:rsidR="008F015F" w:rsidRPr="00B7086A" w:rsidRDefault="008F015F" w:rsidP="008F015F">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8F015F" w:rsidRPr="00B7086A" w:rsidRDefault="008F015F" w:rsidP="008F015F">
      <w:pPr>
        <w:jc w:val="center"/>
        <w:rPr>
          <w:rFonts w:ascii="Arial" w:eastAsia="Times New Roman" w:hAnsi="Arial" w:cs="Arial"/>
          <w:bCs/>
          <w:color w:val="000000" w:themeColor="text1"/>
          <w:sz w:val="20"/>
          <w:szCs w:val="20"/>
          <w:vertAlign w:val="superscript"/>
        </w:rPr>
      </w:pPr>
      <w:r w:rsidRPr="00B7086A">
        <w:rPr>
          <w:rFonts w:ascii="Arial" w:eastAsia="Times New Roman" w:hAnsi="Arial" w:cs="Arial"/>
          <w:bCs/>
          <w:color w:val="000000" w:themeColor="text1"/>
          <w:sz w:val="20"/>
          <w:szCs w:val="20"/>
          <w:vertAlign w:val="superscript"/>
        </w:rPr>
        <w:t>___________</w:t>
      </w:r>
    </w:p>
    <w:p w:rsidR="008F015F" w:rsidRDefault="008F015F" w:rsidP="008F015F">
      <w:pPr>
        <w:jc w:val="center"/>
        <w:rPr>
          <w:rFonts w:ascii="Arial" w:eastAsia="Times New Roman" w:hAnsi="Arial" w:cs="Arial"/>
          <w:i/>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590"/>
        <w:gridCol w:w="2460"/>
        <w:gridCol w:w="2864"/>
        <w:gridCol w:w="3109"/>
      </w:tblGrid>
      <w:tr w:rsidR="008F015F" w:rsidRPr="00B7086A" w:rsidTr="000E2382">
        <w:tc>
          <w:tcPr>
            <w:tcW w:w="327" w:type="pct"/>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363" w:type="pct"/>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1587" w:type="pct"/>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w:t>
            </w:r>
          </w:p>
        </w:tc>
        <w:tc>
          <w:tcPr>
            <w:tcW w:w="1723" w:type="pct"/>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Hình vẽ minh họa, ví dụ (nếu có)</w:t>
            </w:r>
          </w:p>
        </w:tc>
      </w:tr>
      <w:tr w:rsidR="008F015F" w:rsidRPr="00B7086A" w:rsidTr="000E2382">
        <w:tc>
          <w:tcPr>
            <w:tcW w:w="32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w:t>
            </w:r>
          </w:p>
        </w:tc>
        <w:tc>
          <w:tcPr>
            <w:tcW w:w="136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w:t>
            </w:r>
          </w:p>
          <w:p w:rsidR="008F015F" w:rsidRPr="00B7086A" w:rsidRDefault="008F015F" w:rsidP="000E2382">
            <w:pPr>
              <w:pStyle w:val="TableParagraph"/>
              <w:tabs>
                <w:tab w:val="left" w:pos="1025"/>
                <w:tab w:val="left" w:pos="1833"/>
              </w:tabs>
              <w:rPr>
                <w:rFonts w:ascii="Arial" w:eastAsia="Times New Roman" w:hAnsi="Arial" w:cs="Arial"/>
                <w:color w:val="000000" w:themeColor="text1"/>
                <w:sz w:val="20"/>
                <w:szCs w:val="20"/>
              </w:rPr>
            </w:pPr>
            <w:r w:rsidRPr="00B7086A">
              <w:rPr>
                <w:rFonts w:ascii="Arial" w:hAnsi="Arial" w:cs="Arial"/>
                <w:color w:val="000000" w:themeColor="text1"/>
                <w:sz w:val="20"/>
                <w:szCs w:val="20"/>
              </w:rPr>
              <w:t>(Cargo truck, Opened truck)</w:t>
            </w:r>
          </w:p>
        </w:tc>
        <w:tc>
          <w:tcPr>
            <w:tcW w:w="158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hàng có thùng hàng dạng hở, thành phía sau, thành bên của thùng hàng có thể mở được.</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Có thể bố trí trang, thiết bị hỗ trợ việc xếp dỡ hàng (cần cẩu, thiết bị nâng, hạ hàng, thiết bị nâng người làm việc trên cao).</w:t>
            </w:r>
          </w:p>
        </w:tc>
        <w:tc>
          <w:tcPr>
            <w:tcW w:w="172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2B66053" wp14:editId="399A3C33">
                  <wp:extent cx="1860550" cy="2698750"/>
                  <wp:effectExtent l="0" t="0" r="0" b="0"/>
                  <wp:docPr id="1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60550" cy="2698750"/>
                          </a:xfrm>
                          <a:prstGeom prst="rect">
                            <a:avLst/>
                          </a:prstGeom>
                          <a:noFill/>
                          <a:ln>
                            <a:noFill/>
                          </a:ln>
                        </pic:spPr>
                      </pic:pic>
                    </a:graphicData>
                  </a:graphic>
                </wp:inline>
              </w:drawing>
            </w:r>
          </w:p>
        </w:tc>
      </w:tr>
      <w:tr w:rsidR="008F015F" w:rsidRPr="00B7086A" w:rsidTr="000E2382">
        <w:tc>
          <w:tcPr>
            <w:tcW w:w="32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w:t>
            </w:r>
          </w:p>
        </w:tc>
        <w:tc>
          <w:tcPr>
            <w:tcW w:w="136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tự đổ</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(Dumper, Tipper, Dump truck)</w:t>
            </w:r>
          </w:p>
        </w:tc>
        <w:tc>
          <w:tcPr>
            <w:tcW w:w="158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hàng có thùng hàng dạng hở được liên kết với khung xe thông qua các khớp quay, các khóa hãm và cơ cấu nâng, hạ thùng (xi lanh thủy lực kiểu telescope, cơ cấu arm-roll hoặc cơ cấu hooklift …) và có khả năng tự đổ hàng. Không bao gồm xe tự đổ bánh lốp quy định tại mục 4.5 Phụ lục X ban hành kèm theo Thông tư này.</w:t>
            </w:r>
          </w:p>
        </w:tc>
        <w:tc>
          <w:tcPr>
            <w:tcW w:w="172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6D044784" wp14:editId="58388EBC">
                  <wp:extent cx="1803400" cy="939800"/>
                  <wp:effectExtent l="0" t="0" r="0" b="0"/>
                  <wp:docPr id="14"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3400" cy="93980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i/>
                <w:color w:val="000000" w:themeColor="text1"/>
                <w:sz w:val="20"/>
                <w:szCs w:val="20"/>
              </w:rPr>
            </w:pPr>
          </w:p>
        </w:tc>
      </w:tr>
      <w:tr w:rsidR="008F015F" w:rsidRPr="00B7086A" w:rsidTr="000E2382">
        <w:tc>
          <w:tcPr>
            <w:tcW w:w="32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w:t>
            </w:r>
          </w:p>
        </w:tc>
        <w:tc>
          <w:tcPr>
            <w:tcW w:w="136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Pickup ca bin đơn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(Pickup with single cab)</w:t>
            </w:r>
          </w:p>
        </w:tc>
        <w:tc>
          <w:tcPr>
            <w:tcW w:w="1587"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hàng có kiểu dáng ca bin và tiện nghi trong khoang chở người tương tự như ô tô con và có các đặc điểm sau:</w:t>
            </w:r>
          </w:p>
          <w:p w:rsidR="008F015F" w:rsidRPr="00B7086A" w:rsidRDefault="008F015F" w:rsidP="000E2382">
            <w:pPr>
              <w:pStyle w:val="Listenabsatz"/>
              <w:tabs>
                <w:tab w:val="left" w:pos="25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dạng hở (có thể có mui phủ) hoặc dạng kín, có thể liền hoặc không liền thân với ca bin, có bố trí cửa để xếp, dỡ hàng;</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Trong ca bin có bố trí một hàng ghế;</w:t>
            </w:r>
          </w:p>
          <w:p w:rsidR="008F015F" w:rsidRPr="00B7086A" w:rsidRDefault="008F015F" w:rsidP="000E2382">
            <w:pPr>
              <w:pStyle w:val="Listenabsatz"/>
              <w:tabs>
                <w:tab w:val="left" w:pos="26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không có trang bị tiện nghi và nội thất phục vụ chở người;</w:t>
            </w:r>
          </w:p>
          <w:p w:rsidR="008F015F" w:rsidRPr="00B7086A" w:rsidRDefault="008F015F" w:rsidP="000E2382">
            <w:pPr>
              <w:pStyle w:val="Listenabsatz"/>
              <w:tabs>
                <w:tab w:val="left" w:pos="259"/>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Diện tích hữu ích của thùng hàng (F</w:t>
            </w:r>
            <w:r w:rsidRPr="00B7086A">
              <w:rPr>
                <w:rFonts w:ascii="Arial" w:eastAsia="Times New Roman" w:hAnsi="Arial" w:cs="Arial"/>
                <w:color w:val="000000" w:themeColor="text1"/>
                <w:sz w:val="20"/>
                <w:szCs w:val="20"/>
                <w:vertAlign w:val="subscript"/>
              </w:rPr>
              <w:t>h</w:t>
            </w:r>
            <w:r w:rsidRPr="00B7086A">
              <w:rPr>
                <w:rFonts w:ascii="Arial" w:eastAsia="Times New Roman" w:hAnsi="Arial" w:cs="Arial"/>
                <w:color w:val="000000" w:themeColor="text1"/>
                <w:sz w:val="20"/>
                <w:szCs w:val="20"/>
              </w:rPr>
              <w:t>) không nhỏ hơn 01m</w:t>
            </w:r>
            <w:r w:rsidRPr="00B7086A">
              <w:rPr>
                <w:rFonts w:ascii="Arial" w:eastAsia="Times New Roman" w:hAnsi="Arial" w:cs="Arial"/>
                <w:color w:val="000000" w:themeColor="text1"/>
                <w:sz w:val="20"/>
                <w:szCs w:val="20"/>
                <w:vertAlign w:val="superscript"/>
              </w:rPr>
              <w:t>2</w:t>
            </w:r>
            <w:r w:rsidRPr="00B7086A">
              <w:rPr>
                <w:rFonts w:ascii="Arial" w:eastAsia="Times New Roman" w:hAnsi="Arial" w:cs="Arial"/>
                <w:color w:val="000000" w:themeColor="text1"/>
                <w:sz w:val="20"/>
                <w:szCs w:val="20"/>
              </w:rPr>
              <w:t xml:space="preserve"> và được xác định theo quy định tại Mục A Phụ lục XI ban hành kèm theo Thông tư này;</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 Tỷ lệ giữa tổng khối lượng hàng hóa cho phép chở (mh) và tổng khối lượng của số người </w:t>
            </w:r>
            <w:r w:rsidRPr="00B7086A">
              <w:rPr>
                <w:rFonts w:ascii="Arial" w:eastAsia="Times New Roman" w:hAnsi="Arial" w:cs="Arial"/>
                <w:color w:val="000000" w:themeColor="text1"/>
                <w:sz w:val="20"/>
                <w:szCs w:val="20"/>
              </w:rPr>
              <w:lastRenderedPageBreak/>
              <w:t>cho phép chở (mng) phải đáp ứng được yêu cầu sau:</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0CC89ED6" wp14:editId="078237BC">
                  <wp:extent cx="1174750" cy="393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4750" cy="39370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Trong đó:</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w:t>
            </w:r>
            <w:r w:rsidRPr="00B7086A">
              <w:rPr>
                <w:rFonts w:ascii="Arial" w:eastAsia="Times New Roman" w:hAnsi="Arial" w:cs="Arial"/>
                <w:color w:val="000000" w:themeColor="text1"/>
                <w:sz w:val="20"/>
                <w:szCs w:val="20"/>
                <w:vertAlign w:val="subscript"/>
              </w:rPr>
              <w:t>ng</w:t>
            </w:r>
            <w:r w:rsidRPr="00B7086A">
              <w:rPr>
                <w:rFonts w:ascii="Arial" w:eastAsia="Times New Roman" w:hAnsi="Arial" w:cs="Arial"/>
                <w:color w:val="000000" w:themeColor="text1"/>
                <w:sz w:val="20"/>
                <w:szCs w:val="20"/>
              </w:rPr>
              <w:t xml:space="preserve"> = 65 (kg/người) nhân với số người cho phép chở kể cả người lái.</w:t>
            </w:r>
          </w:p>
        </w:tc>
        <w:tc>
          <w:tcPr>
            <w:tcW w:w="1723" w:type="pct"/>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lastRenderedPageBreak/>
              <w:drawing>
                <wp:inline distT="0" distB="0" distL="0" distR="0" wp14:anchorId="29A0DF6B" wp14:editId="1BA7E796">
                  <wp:extent cx="1809750" cy="717550"/>
                  <wp:effectExtent l="0" t="0" r="0" b="0"/>
                  <wp:docPr id="16"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0" cy="7175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i/>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Pickup ca bin kép</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(Pickup with double cab, pickup with extra cab)</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hàng có kiểu dáng cabin và tiện nghi trong khoang chở người tương tự như ô tô con và có các đặc điểm sau:</w:t>
            </w:r>
          </w:p>
          <w:p w:rsidR="008F015F" w:rsidRPr="00B7086A" w:rsidRDefault="008F015F" w:rsidP="000E2382">
            <w:pPr>
              <w:pStyle w:val="Listenabsatz"/>
              <w:tabs>
                <w:tab w:val="left" w:pos="25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dạng hở (có thể có mui phủ) hoặc dạng kín, có thể liền hoặc không liền thân với ca bin, có bố trí cửa để xếp, dỡ hàng;</w:t>
            </w:r>
          </w:p>
          <w:p w:rsidR="008F015F" w:rsidRPr="00B7086A" w:rsidRDefault="008F015F" w:rsidP="000E2382">
            <w:pPr>
              <w:pStyle w:val="Listenabsatz"/>
              <w:tabs>
                <w:tab w:val="left" w:pos="29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Trong ca bin có bố trí hai hàng ghế, có số người cho phép chở kể cả người lái không lớn hơn 05 người;</w:t>
            </w:r>
          </w:p>
          <w:p w:rsidR="008F015F" w:rsidRPr="00B7086A" w:rsidRDefault="008F015F" w:rsidP="000E2382">
            <w:pPr>
              <w:pStyle w:val="Listenabsatz"/>
              <w:tabs>
                <w:tab w:val="left" w:pos="26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không có trang bị tiện nghi và nội thất phục vụ chở người;</w:t>
            </w:r>
          </w:p>
          <w:p w:rsidR="008F015F" w:rsidRPr="00B7086A" w:rsidRDefault="008F015F" w:rsidP="000E2382">
            <w:pPr>
              <w:pStyle w:val="Listenabsatz"/>
              <w:tabs>
                <w:tab w:val="left" w:pos="29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Diện tích hữu ích của sàn thùng hàng (F</w:t>
            </w:r>
            <w:r w:rsidRPr="00B7086A">
              <w:rPr>
                <w:rFonts w:ascii="Arial" w:eastAsia="Times New Roman" w:hAnsi="Arial" w:cs="Arial"/>
                <w:color w:val="000000" w:themeColor="text1"/>
                <w:sz w:val="20"/>
                <w:szCs w:val="20"/>
                <w:vertAlign w:val="subscript"/>
              </w:rPr>
              <w:t>h</w:t>
            </w:r>
            <w:r w:rsidRPr="00B7086A">
              <w:rPr>
                <w:rFonts w:ascii="Arial" w:eastAsia="Times New Roman" w:hAnsi="Arial" w:cs="Arial"/>
                <w:color w:val="000000" w:themeColor="text1"/>
                <w:sz w:val="20"/>
                <w:szCs w:val="20"/>
              </w:rPr>
              <w:t>) không nhỏ hơn 01m</w:t>
            </w:r>
            <w:r w:rsidRPr="00B7086A">
              <w:rPr>
                <w:rFonts w:ascii="Arial" w:eastAsia="Times New Roman" w:hAnsi="Arial" w:cs="Arial"/>
                <w:color w:val="000000" w:themeColor="text1"/>
                <w:sz w:val="20"/>
                <w:szCs w:val="20"/>
                <w:vertAlign w:val="superscript"/>
              </w:rPr>
              <w:t>2</w:t>
            </w:r>
            <w:r w:rsidRPr="00B7086A">
              <w:rPr>
                <w:rFonts w:ascii="Arial" w:eastAsia="Times New Roman" w:hAnsi="Arial" w:cs="Arial"/>
                <w:color w:val="000000" w:themeColor="text1"/>
                <w:sz w:val="20"/>
                <w:szCs w:val="20"/>
              </w:rPr>
              <w:t xml:space="preserve"> và được xác định theo quy định tại Mục A Phụ lục XI ban hành kèm theo Thông tư này;</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Tỷ lệ giữa tổng khối lượng hàng hóa cho phép chở (m</w:t>
            </w:r>
            <w:r w:rsidRPr="00B7086A">
              <w:rPr>
                <w:rFonts w:ascii="Arial" w:eastAsia="Times New Roman" w:hAnsi="Arial" w:cs="Arial"/>
                <w:color w:val="000000" w:themeColor="text1"/>
                <w:sz w:val="20"/>
                <w:szCs w:val="20"/>
                <w:vertAlign w:val="subscript"/>
              </w:rPr>
              <w:t>h</w:t>
            </w:r>
            <w:r w:rsidRPr="00B7086A">
              <w:rPr>
                <w:rFonts w:ascii="Arial" w:eastAsia="Times New Roman" w:hAnsi="Arial" w:cs="Arial"/>
                <w:color w:val="000000" w:themeColor="text1"/>
                <w:sz w:val="20"/>
                <w:szCs w:val="20"/>
              </w:rPr>
              <w:t>) và tổng khối lượng của số người cho phép chở (m</w:t>
            </w:r>
            <w:r w:rsidRPr="00B7086A">
              <w:rPr>
                <w:rFonts w:ascii="Arial" w:eastAsia="Times New Roman" w:hAnsi="Arial" w:cs="Arial"/>
                <w:color w:val="000000" w:themeColor="text1"/>
                <w:sz w:val="20"/>
                <w:szCs w:val="20"/>
                <w:vertAlign w:val="subscript"/>
              </w:rPr>
              <w:t>ng</w:t>
            </w:r>
            <w:r w:rsidRPr="00B7086A">
              <w:rPr>
                <w:rFonts w:ascii="Arial" w:eastAsia="Times New Roman" w:hAnsi="Arial" w:cs="Arial"/>
                <w:color w:val="000000" w:themeColor="text1"/>
                <w:sz w:val="20"/>
                <w:szCs w:val="20"/>
              </w:rPr>
              <w:t>) phải đáp ứng được yêu cầu sau:</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136C258F" wp14:editId="36E99E0A">
                  <wp:extent cx="1257300" cy="406400"/>
                  <wp:effectExtent l="0" t="0" r="0" b="0"/>
                  <wp:docPr id="1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40640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Trong đó:</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mng = 65 (kg/người) nhân với số người cho phép chở kể cả người lái.</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3B60BD39" wp14:editId="09481A83">
                  <wp:extent cx="1746250" cy="844550"/>
                  <wp:effectExtent l="0" t="0" r="0" b="0"/>
                  <wp:docPr id="18"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6250" cy="8445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2E2DCF29" wp14:editId="2E711AE2">
                  <wp:extent cx="1758950" cy="781050"/>
                  <wp:effectExtent l="0" t="0" r="0" b="0"/>
                  <wp:docPr id="19"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8950" cy="7810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421126A" wp14:editId="43CC3CD5">
                  <wp:extent cx="1860550" cy="952500"/>
                  <wp:effectExtent l="0" t="0" r="0" b="0"/>
                  <wp:docPr id="20"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0" cy="95250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5</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VAN</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chở hàng có các đặc điểm </w:t>
            </w:r>
            <w:r w:rsidRPr="00B7086A">
              <w:rPr>
                <w:rFonts w:ascii="Arial" w:hAnsi="Arial" w:cs="Arial"/>
                <w:color w:val="000000" w:themeColor="text1"/>
                <w:sz w:val="20"/>
                <w:szCs w:val="20"/>
              </w:rPr>
              <w:t>sau:</w:t>
            </w:r>
          </w:p>
          <w:p w:rsidR="008F015F" w:rsidRPr="00B7086A" w:rsidRDefault="008F015F" w:rsidP="000E2382">
            <w:pPr>
              <w:pStyle w:val="Listenabsatz"/>
              <w:tabs>
                <w:tab w:val="left" w:pos="27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Khoang chở hàng dạng kín liền khối với khoang người ngồi;</w:t>
            </w:r>
          </w:p>
          <w:p w:rsidR="008F015F" w:rsidRPr="00B7086A" w:rsidRDefault="008F015F" w:rsidP="000E2382">
            <w:pPr>
              <w:pStyle w:val="Listenabsatz"/>
              <w:tabs>
                <w:tab w:val="left" w:pos="25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bố trí cửa xếp dỡ hàng ở phía sau và có thể có thêm ở hai bên thành xe;</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vách ngăn hoặc kết cấu rào chắn cố định để ngăn cách giữa khoang chở hàng và khoang người ngồi;</w:t>
            </w:r>
          </w:p>
          <w:p w:rsidR="008F015F" w:rsidRPr="00B7086A" w:rsidRDefault="008F015F" w:rsidP="000E2382">
            <w:pPr>
              <w:pStyle w:val="Listenabsatz"/>
              <w:tabs>
                <w:tab w:val="left" w:pos="25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Không bố trí cửa sổ trên các thành xe tại khu vực khoang chở hàng và trên các cửa xếp dỡ hàng ở hai bên thành xe; nếu có cửa sổ là cửa kính thì phải có các thanh chắn hoặc lưới kim loại để bảo vệ kính;</w:t>
            </w:r>
          </w:p>
          <w:p w:rsidR="008F015F" w:rsidRPr="00B7086A" w:rsidRDefault="008F015F" w:rsidP="000E2382">
            <w:pPr>
              <w:pStyle w:val="Listenabsatz"/>
              <w:tabs>
                <w:tab w:val="left" w:pos="29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lastRenderedPageBreak/>
              <w:t>- Diện tích hữu ích của sàn khoang chở hàng (F</w:t>
            </w:r>
            <w:r w:rsidRPr="00B7086A">
              <w:rPr>
                <w:rFonts w:ascii="Arial" w:eastAsia="Times New Roman" w:hAnsi="Arial" w:cs="Arial"/>
                <w:color w:val="000000" w:themeColor="text1"/>
                <w:sz w:val="20"/>
                <w:szCs w:val="20"/>
                <w:vertAlign w:val="subscript"/>
              </w:rPr>
              <w:t>h</w:t>
            </w:r>
            <w:r w:rsidRPr="00B7086A">
              <w:rPr>
                <w:rFonts w:ascii="Arial" w:eastAsia="Times New Roman" w:hAnsi="Arial" w:cs="Arial"/>
                <w:color w:val="000000" w:themeColor="text1"/>
                <w:sz w:val="20"/>
                <w:szCs w:val="20"/>
              </w:rPr>
              <w:t>) không nhỏ hơn 01m</w:t>
            </w:r>
            <w:r w:rsidRPr="00B7086A">
              <w:rPr>
                <w:rFonts w:ascii="Arial" w:eastAsia="Times New Roman" w:hAnsi="Arial" w:cs="Arial"/>
                <w:color w:val="000000" w:themeColor="text1"/>
                <w:sz w:val="20"/>
                <w:szCs w:val="20"/>
                <w:vertAlign w:val="superscript"/>
              </w:rPr>
              <w:t>2</w:t>
            </w:r>
            <w:r w:rsidRPr="00B7086A">
              <w:rPr>
                <w:rFonts w:ascii="Arial" w:eastAsia="Times New Roman" w:hAnsi="Arial" w:cs="Arial"/>
                <w:color w:val="000000" w:themeColor="text1"/>
                <w:sz w:val="20"/>
                <w:szCs w:val="20"/>
              </w:rPr>
              <w:t xml:space="preserve"> và lớn hơn diện tích hữu ích của sàn khoang chở người (Fng) xác định theo quy định tại Mục B Phụ lục XI ban hành kèm theo Thông tư này;</w:t>
            </w:r>
          </w:p>
          <w:p w:rsidR="008F015F" w:rsidRPr="00B7086A" w:rsidRDefault="008F015F" w:rsidP="000E2382">
            <w:pPr>
              <w:pStyle w:val="Listenabsatz"/>
              <w:tabs>
                <w:tab w:val="left" w:pos="26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Tỷ lệ giữa khối lượng hàng hoá cho phép chở (mh) với tổng khối lượng của số người cho phép chở không kể người lái (m</w:t>
            </w:r>
            <w:r w:rsidRPr="00B7086A">
              <w:rPr>
                <w:rFonts w:ascii="Arial" w:eastAsia="Times New Roman" w:hAnsi="Arial" w:cs="Arial"/>
                <w:color w:val="000000" w:themeColor="text1"/>
                <w:sz w:val="20"/>
                <w:szCs w:val="20"/>
                <w:vertAlign w:val="subscript"/>
              </w:rPr>
              <w:t>ng</w:t>
            </w:r>
            <w:r w:rsidRPr="00B7086A">
              <w:rPr>
                <w:rFonts w:ascii="Arial" w:eastAsia="Times New Roman" w:hAnsi="Arial" w:cs="Arial"/>
                <w:color w:val="000000" w:themeColor="text1"/>
                <w:sz w:val="20"/>
                <w:szCs w:val="20"/>
              </w:rPr>
              <w:t>) lớn hơn 1,8;</w:t>
            </w:r>
          </w:p>
          <w:p w:rsidR="008F015F" w:rsidRPr="00B7086A" w:rsidRDefault="008F015F"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Cụ thể là: m</w:t>
            </w:r>
            <w:r w:rsidRPr="00B7086A">
              <w:rPr>
                <w:rFonts w:ascii="Arial" w:eastAsia="Times New Roman" w:hAnsi="Arial" w:cs="Arial"/>
                <w:color w:val="000000" w:themeColor="text1"/>
                <w:sz w:val="20"/>
                <w:szCs w:val="20"/>
                <w:vertAlign w:val="subscript"/>
                <w:lang w:val="fr-FR"/>
              </w:rPr>
              <w:t>h</w:t>
            </w:r>
            <w:r w:rsidRPr="00B7086A">
              <w:rPr>
                <w:rFonts w:ascii="Arial" w:eastAsia="Times New Roman" w:hAnsi="Arial" w:cs="Arial"/>
                <w:color w:val="000000" w:themeColor="text1"/>
                <w:sz w:val="20"/>
                <w:szCs w:val="20"/>
                <w:lang w:val="fr-FR"/>
              </w:rPr>
              <w:t xml:space="preserve"> /m</w:t>
            </w:r>
            <w:r w:rsidRPr="00B7086A">
              <w:rPr>
                <w:rFonts w:ascii="Arial" w:eastAsia="Times New Roman" w:hAnsi="Arial" w:cs="Arial"/>
                <w:color w:val="000000" w:themeColor="text1"/>
                <w:sz w:val="20"/>
                <w:szCs w:val="20"/>
                <w:vertAlign w:val="subscript"/>
                <w:lang w:val="fr-FR"/>
              </w:rPr>
              <w:t>ng</w:t>
            </w:r>
            <w:r w:rsidRPr="00B7086A">
              <w:rPr>
                <w:rFonts w:ascii="Arial" w:eastAsia="Times New Roman" w:hAnsi="Arial" w:cs="Arial"/>
                <w:color w:val="000000" w:themeColor="text1"/>
                <w:sz w:val="20"/>
                <w:szCs w:val="20"/>
                <w:lang w:val="fr-FR"/>
              </w:rPr>
              <w:t xml:space="preserve"> &gt; 1,8</w:t>
            </w:r>
          </w:p>
          <w:p w:rsidR="008F015F" w:rsidRPr="00B7086A" w:rsidRDefault="008F015F"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Khối lượng tính toán cho một người được xác định theo quy định của nhà sản xuất nhưng không nhỏ hơn 65 (kg/người);</w:t>
            </w:r>
          </w:p>
          <w:p w:rsidR="008F015F" w:rsidRPr="00B7086A" w:rsidRDefault="008F015F" w:rsidP="000E2382">
            <w:pPr>
              <w:pStyle w:val="Listenabsatz"/>
              <w:tabs>
                <w:tab w:val="left" w:pos="329"/>
              </w:tabs>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 Tại khu vực khoang chở hàng không bố trí các trang thiết bị sau đây: Các kết cấu, liên kết chờ để lắp ghế; dây đai an toàn và các cơ cấu neo giữ đai an toàn; cơ cấu điều khiển điều hoà nhiệt độ; gạt tàn thuốc lá; giá để ly, cốc.</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lastRenderedPageBreak/>
              <w:drawing>
                <wp:inline distT="0" distB="0" distL="0" distR="0" wp14:anchorId="0D46866F" wp14:editId="659FF5A3">
                  <wp:extent cx="1885950" cy="20510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2051050"/>
                          </a:xfrm>
                          <a:prstGeom prst="rect">
                            <a:avLst/>
                          </a:prstGeom>
                          <a:noFill/>
                          <a:ln>
                            <a:noFill/>
                          </a:ln>
                        </pic:spPr>
                      </pic:pic>
                    </a:graphicData>
                  </a:graphic>
                </wp:inline>
              </w:drawing>
            </w: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6</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có mui (Truck with canvas)</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có trang bị thêm mui phủ cho thùng chở hàng để hạn chế nước, gió xâm nhập từ bên ngoài và có các đặc điểm sau:</w:t>
            </w:r>
          </w:p>
          <w:p w:rsidR="008F015F" w:rsidRPr="00B7086A" w:rsidRDefault="008F015F" w:rsidP="000E2382">
            <w:pPr>
              <w:pStyle w:val="Listenabsatz"/>
              <w:tabs>
                <w:tab w:val="left" w:pos="31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Khung, mui phủ được cố định hoặc có thể tháo rời khỏi thùng hàng;</w:t>
            </w:r>
          </w:p>
          <w:p w:rsidR="008F015F" w:rsidRPr="00B7086A" w:rsidRDefault="008F015F" w:rsidP="000E2382">
            <w:pPr>
              <w:pStyle w:val="Listenabsatz"/>
              <w:tabs>
                <w:tab w:val="left" w:pos="27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Mui phủ có thể là loại mui mềm (vải bạt, vải không thấm nước…) hoặc là loại mui cứng (kim loại, composite…).</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49F5996" wp14:editId="303CB47F">
                  <wp:extent cx="1638300" cy="908050"/>
                  <wp:effectExtent l="0" t="0" r="0" b="0"/>
                  <wp:docPr id="22"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080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7</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thùng kín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(Dry van truck, Box body truck, Wing body truck, Hood wing truck)</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chở hàng có các đặc điểm </w:t>
            </w:r>
            <w:r w:rsidRPr="00B7086A">
              <w:rPr>
                <w:rFonts w:ascii="Arial" w:hAnsi="Arial" w:cs="Arial"/>
                <w:color w:val="000000" w:themeColor="text1"/>
                <w:sz w:val="20"/>
                <w:szCs w:val="20"/>
              </w:rPr>
              <w:t>sau:</w:t>
            </w:r>
          </w:p>
          <w:p w:rsidR="008F015F" w:rsidRPr="00B7086A" w:rsidRDefault="008F015F" w:rsidP="000E2382">
            <w:pPr>
              <w:pStyle w:val="Listenabsatz"/>
              <w:tabs>
                <w:tab w:val="left" w:pos="24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thùng hàng dạng hộp kín, có khả năng chống lại nước, gió, bụi xâm nhập từ bên ngoài nhưng không có khả năng cách nhiệt.</w:t>
            </w:r>
          </w:p>
          <w:p w:rsidR="008F015F" w:rsidRPr="00B7086A" w:rsidRDefault="008F015F" w:rsidP="000E2382">
            <w:pPr>
              <w:pStyle w:val="Listenabsatz"/>
              <w:tabs>
                <w:tab w:val="left" w:pos="231"/>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thể bố trí cửa ở thành phía sau, thành bên của thùng xe để xếp, dỡ hàng.</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rPr>
                <w:rFonts w:ascii="Arial" w:hAnsi="Arial" w:cs="Arial"/>
                <w:color w:val="000000" w:themeColor="text1"/>
                <w:sz w:val="20"/>
                <w:szCs w:val="20"/>
              </w:rPr>
            </w:pPr>
            <w:r w:rsidRPr="00B7086A">
              <w:rPr>
                <w:rFonts w:ascii="Arial" w:hAnsi="Arial" w:cs="Arial"/>
                <w:noProof/>
                <w:color w:val="000000" w:themeColor="text1"/>
                <w:sz w:val="20"/>
                <w:szCs w:val="20"/>
              </w:rPr>
              <w:drawing>
                <wp:inline distT="0" distB="0" distL="0" distR="0" wp14:anchorId="23E54049" wp14:editId="2CDFE353">
                  <wp:extent cx="1695450" cy="15430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5450" cy="1543050"/>
                          </a:xfrm>
                          <a:prstGeom prst="rect">
                            <a:avLst/>
                          </a:prstGeom>
                          <a:noFill/>
                          <a:ln>
                            <a:noFill/>
                          </a:ln>
                        </pic:spPr>
                      </pic:pic>
                    </a:graphicData>
                  </a:graphic>
                </wp:inline>
              </w:drawing>
            </w: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8</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đông lạnh</w:t>
            </w:r>
          </w:p>
          <w:p w:rsidR="008F015F" w:rsidRPr="00B7086A" w:rsidRDefault="008F015F" w:rsidP="000E2382">
            <w:pPr>
              <w:pStyle w:val="TableParagraph"/>
              <w:tabs>
                <w:tab w:val="left" w:pos="2026"/>
              </w:tabs>
              <w:rPr>
                <w:rFonts w:ascii="Arial" w:eastAsia="Times New Roman" w:hAnsi="Arial" w:cs="Arial"/>
                <w:color w:val="000000" w:themeColor="text1"/>
                <w:sz w:val="20"/>
                <w:szCs w:val="20"/>
              </w:rPr>
            </w:pPr>
            <w:r w:rsidRPr="00B7086A">
              <w:rPr>
                <w:rFonts w:ascii="Arial" w:hAnsi="Arial" w:cs="Arial"/>
                <w:color w:val="000000" w:themeColor="text1"/>
                <w:sz w:val="20"/>
                <w:szCs w:val="20"/>
              </w:rPr>
              <w:t>(Refrigerated truck, Refrigerated van truck, Frozen truck)</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chở hàng có các đặc điểm </w:t>
            </w:r>
            <w:r w:rsidRPr="00B7086A">
              <w:rPr>
                <w:rFonts w:ascii="Arial" w:hAnsi="Arial" w:cs="Arial"/>
                <w:color w:val="000000" w:themeColor="text1"/>
                <w:sz w:val="20"/>
                <w:szCs w:val="20"/>
              </w:rPr>
              <w:t>sau:</w:t>
            </w:r>
          </w:p>
          <w:p w:rsidR="008F015F" w:rsidRPr="00B7086A" w:rsidRDefault="008F015F" w:rsidP="000E2382">
            <w:pPr>
              <w:pStyle w:val="Listenabsatz"/>
              <w:tabs>
                <w:tab w:val="left" w:pos="23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dạng hộp kín, có khả năng chống lại nước, gió, bụi xâm nhập từ bên ngoài;</w:t>
            </w:r>
          </w:p>
          <w:p w:rsidR="008F015F" w:rsidRPr="00B7086A" w:rsidRDefault="008F015F" w:rsidP="000E2382">
            <w:pPr>
              <w:pStyle w:val="Listenabsatz"/>
              <w:tabs>
                <w:tab w:val="left" w:pos="25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phải làm từ loại vật liệu cách nhiệt hoặc có lớp vật liệu cách nhiệt;</w:t>
            </w:r>
          </w:p>
          <w:p w:rsidR="008F015F" w:rsidRPr="00B7086A" w:rsidRDefault="008F015F" w:rsidP="000E2382">
            <w:pPr>
              <w:pStyle w:val="Listenabsatz"/>
              <w:tabs>
                <w:tab w:val="left" w:pos="23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Sàn xe phải có kết cấu để dẫn nhiệt và thoát nước;</w:t>
            </w:r>
          </w:p>
          <w:p w:rsidR="008F015F" w:rsidRPr="00B7086A" w:rsidRDefault="008F015F" w:rsidP="000E2382">
            <w:pPr>
              <w:pStyle w:val="Listenabsatz"/>
              <w:tabs>
                <w:tab w:val="left" w:pos="25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 Xe phải có thiết bị làm lạnh đảm bảo làm lạnh khoang chở </w:t>
            </w:r>
            <w:r w:rsidRPr="00B7086A">
              <w:rPr>
                <w:rFonts w:ascii="Arial" w:eastAsia="Times New Roman" w:hAnsi="Arial" w:cs="Arial"/>
                <w:color w:val="000000" w:themeColor="text1"/>
                <w:sz w:val="20"/>
                <w:szCs w:val="20"/>
              </w:rPr>
              <w:lastRenderedPageBreak/>
              <w:t>hàng (khi không có hàng) từ nhiệt độ môi trường xuống dưới 0ºC trong vòng 45 phút khi xe ở trạng thái đứng yên, trường hợp xe có bố trí chia khoang chở hàng thành nhiều khoang thì mỗi khoang chở hàng phải đáp ứng được các yêu cầu trên;</w:t>
            </w:r>
          </w:p>
          <w:p w:rsidR="008F015F" w:rsidRPr="00B7086A" w:rsidRDefault="008F015F" w:rsidP="000E2382">
            <w:pPr>
              <w:pStyle w:val="Listenabsatz"/>
              <w:tabs>
                <w:tab w:val="left" w:pos="25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Phía sau, thành bên của thùng hàng có thể mở được hoặc có bố trí cửa để xếp, dỡ hàng.</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lastRenderedPageBreak/>
              <w:drawing>
                <wp:inline distT="0" distB="0" distL="0" distR="0" wp14:anchorId="2420A079" wp14:editId="12B91A13">
                  <wp:extent cx="1797050" cy="831850"/>
                  <wp:effectExtent l="0" t="0" r="0" b="0"/>
                  <wp:docPr id="2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8318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9</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bảo ôn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(Insulated truck, Cooling truck, Cooling van truck)</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hàng có đặc điểm</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sau:</w:t>
            </w:r>
          </w:p>
          <w:p w:rsidR="008F015F" w:rsidRPr="00B7086A" w:rsidRDefault="008F015F" w:rsidP="000E2382">
            <w:pPr>
              <w:pStyle w:val="Listenabsatz"/>
              <w:tabs>
                <w:tab w:val="left" w:pos="23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dạng hộp kín, có khả năng chống lại nước, gió, bụi xâm nhập từ bên ngoài;</w:t>
            </w:r>
          </w:p>
          <w:p w:rsidR="008F015F" w:rsidRPr="00B7086A" w:rsidRDefault="008F015F" w:rsidP="000E2382">
            <w:pPr>
              <w:pStyle w:val="Listenabsatz"/>
              <w:tabs>
                <w:tab w:val="left" w:pos="25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hàng phải làm từ loại vật liệu cách nhiệt hoặc có lớp vật liệu cách nhiệt;</w:t>
            </w:r>
          </w:p>
          <w:p w:rsidR="008F015F" w:rsidRPr="00B7086A" w:rsidRDefault="008F015F" w:rsidP="000E2382">
            <w:pPr>
              <w:pStyle w:val="Listenabsatz"/>
              <w:tabs>
                <w:tab w:val="left" w:pos="25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Xe có thể có hoặc không có thiết bị làm lạnh; có kết cấu sàn xe hoặc nhiệt độ làm lạnh không đáp ứng được yêu cầu của ô tô tải đông lạnh nêu tại Mục 8 Phụ lục này;</w:t>
            </w:r>
          </w:p>
          <w:p w:rsidR="008F015F" w:rsidRPr="00B7086A" w:rsidRDefault="008F015F" w:rsidP="000E2382">
            <w:pPr>
              <w:pStyle w:val="Listenabsatz"/>
              <w:tabs>
                <w:tab w:val="left" w:pos="34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Phía sau, thành bên của thùng hàng có thể mở được hoặc có bố trí cửa để xếp, dỡ hàng.</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622A15C1" wp14:editId="03917891">
                  <wp:extent cx="1841500" cy="857250"/>
                  <wp:effectExtent l="0" t="0" r="0" b="0"/>
                  <wp:docPr id="2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1500" cy="85725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7ECAF1EB" wp14:editId="4AAFBAC2">
                  <wp:extent cx="1828800" cy="863600"/>
                  <wp:effectExtent l="0" t="0" r="0" b="0"/>
                  <wp:docPr id="2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863600"/>
                          </a:xfrm>
                          <a:prstGeom prst="rect">
                            <a:avLst/>
                          </a:prstGeom>
                          <a:noFill/>
                          <a:ln>
                            <a:noFill/>
                          </a:ln>
                        </pic:spPr>
                      </pic:pic>
                    </a:graphicData>
                  </a:graphic>
                </wp:inline>
              </w:drawing>
            </w:r>
          </w:p>
          <w:p w:rsidR="008F015F" w:rsidRPr="00B7086A" w:rsidRDefault="008F015F" w:rsidP="000E2382">
            <w:pPr>
              <w:pStyle w:val="TableParagraph"/>
              <w:rPr>
                <w:rFonts w:ascii="Arial" w:eastAsia="Times New Roman" w:hAnsi="Arial" w:cs="Arial"/>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10</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tập lái</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(Driver training truck)</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thông dụng có dấu hiệu nhận biết và trang thiết bị đáp ứng các yêu cầu về xe tập lái theo quy định về đào tạo lái xe.</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rPr>
                <w:rFonts w:ascii="Arial" w:hAnsi="Arial" w:cs="Arial"/>
                <w:color w:val="000000" w:themeColor="text1"/>
                <w:sz w:val="20"/>
                <w:szCs w:val="20"/>
              </w:rPr>
            </w:pPr>
          </w:p>
        </w:tc>
      </w:tr>
      <w:tr w:rsidR="008F015F" w:rsidRPr="00B7086A" w:rsidTr="000E2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11</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khác</w:t>
            </w:r>
          </w:p>
        </w:tc>
        <w:tc>
          <w:tcPr>
            <w:tcW w:w="1587"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các loại ô tô quy định tại Phụ lục này.</w:t>
            </w:r>
          </w:p>
        </w:tc>
        <w:tc>
          <w:tcPr>
            <w:tcW w:w="1723" w:type="pct"/>
            <w:tcBorders>
              <w:top w:val="single" w:sz="4" w:space="0" w:color="000000"/>
              <w:left w:val="single" w:sz="4" w:space="0" w:color="000000"/>
              <w:bottom w:val="single" w:sz="4" w:space="0" w:color="000000"/>
              <w:right w:val="single" w:sz="4" w:space="0" w:color="000000"/>
            </w:tcBorders>
            <w:shd w:val="clear" w:color="auto" w:fill="auto"/>
          </w:tcPr>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Pickup cabin đơn đông lạnh;</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tải Pickup cabin đơn </w:t>
            </w:r>
            <w:r w:rsidRPr="00B7086A">
              <w:rPr>
                <w:rFonts w:ascii="Arial" w:hAnsi="Arial" w:cs="Arial"/>
                <w:color w:val="000000" w:themeColor="text1"/>
                <w:sz w:val="20"/>
                <w:szCs w:val="20"/>
              </w:rPr>
              <w:t>thùng kín;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Pickup cabin kép có mui;</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pickup cabin kép thùng kín;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VAN bảo ôn;</w:t>
            </w:r>
          </w:p>
          <w:p w:rsidR="008F015F" w:rsidRPr="00B7086A" w:rsidRDefault="008F015F"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VAN đông lạnh.</w:t>
            </w:r>
          </w:p>
        </w:tc>
      </w:tr>
    </w:tbl>
    <w:p w:rsidR="0034473B" w:rsidRDefault="008F015F" w:rsidP="008F015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15F"/>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8F015F"/>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A05CE"/>
  <w15:chartTrackingRefBased/>
  <w15:docId w15:val="{FB9D8509-F0AC-40FC-BDE1-A9E9C6F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15F"/>
    <w:pPr>
      <w:widowControl w:val="0"/>
      <w:spacing w:after="0"/>
      <w:ind w:firstLine="0"/>
      <w:jc w:val="left"/>
    </w:pPr>
    <w:rPr>
      <w:rFonts w:ascii="Calibri" w:eastAsia="Calibri" w:hAnsi="Calibri"/>
      <w:color w:val="auto"/>
      <w:sz w:val="22"/>
      <w:lang w:val="en-US"/>
    </w:rPr>
  </w:style>
  <w:style w:type="paragraph" w:styleId="Heading1">
    <w:name w:val="heading 1"/>
    <w:basedOn w:val="Normal"/>
    <w:link w:val="Heading1Char"/>
    <w:uiPriority w:val="9"/>
    <w:qFormat/>
    <w:rsid w:val="008F015F"/>
    <w:pPr>
      <w:spacing w:before="45"/>
      <w:ind w:left="131"/>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15F"/>
    <w:rPr>
      <w:rFonts w:ascii="Times New Roman" w:eastAsia="Times New Roman" w:hAnsi="Times New Roman"/>
      <w:b/>
      <w:bCs/>
      <w:color w:val="auto"/>
      <w:sz w:val="26"/>
      <w:szCs w:val="26"/>
      <w:lang w:val="en-US"/>
    </w:rPr>
  </w:style>
  <w:style w:type="paragraph" w:customStyle="1" w:styleId="Listenabsatz">
    <w:name w:val="Listenabsatz"/>
    <w:basedOn w:val="Normal"/>
    <w:uiPriority w:val="1"/>
    <w:qFormat/>
    <w:rsid w:val="008F015F"/>
  </w:style>
  <w:style w:type="paragraph" w:customStyle="1" w:styleId="TableParagraph">
    <w:name w:val="Table Paragraph"/>
    <w:basedOn w:val="Normal"/>
    <w:uiPriority w:val="1"/>
    <w:qFormat/>
    <w:rsid w:val="008F0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2025-09-29T08:00:00Z</dcterms:created>
  <dcterms:modified xsi:type="dcterms:W3CDTF">2025-09-29T08:01:00Z</dcterms:modified>
</cp:coreProperties>
</file>